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4B1561" w14:textId="5C5C3217" w:rsidR="001B0630" w:rsidRPr="003A7770" w:rsidRDefault="00624976" w:rsidP="003A7770">
      <w:pPr>
        <w:jc w:val="center"/>
        <w:rPr>
          <w:b/>
          <w:sz w:val="40"/>
          <w:szCs w:val="40"/>
        </w:rPr>
      </w:pPr>
      <w:r>
        <w:rPr>
          <w:b/>
          <w:bCs/>
          <w:sz w:val="40"/>
          <w:szCs w:val="40"/>
        </w:rPr>
        <w:t>Crescenta incorpora el fondo Qualitas Energy VI a su estrategia de Real Assets</w:t>
      </w:r>
    </w:p>
    <w:p w14:paraId="694B1562" w14:textId="77777777" w:rsidR="001B0630" w:rsidRDefault="00624976">
      <w:pPr>
        <w:numPr>
          <w:ilvl w:val="0"/>
          <w:numId w:val="1"/>
        </w:numPr>
        <w:pBdr>
          <w:top w:val="nil"/>
          <w:left w:val="nil"/>
          <w:bottom w:val="nil"/>
          <w:right w:val="nil"/>
          <w:between w:val="nil"/>
        </w:pBdr>
        <w:spacing w:after="0"/>
        <w:jc w:val="both"/>
        <w:rPr>
          <w:b/>
          <w:bCs/>
          <w:color w:val="000000"/>
        </w:rPr>
      </w:pPr>
      <w:r>
        <w:rPr>
          <w:color w:val="000000"/>
        </w:rPr>
        <w:t>El fondo de Qualitas Energy se convierte en el primer vehículo de una gestora española que Crescenta añade a sus portfolios</w:t>
      </w:r>
    </w:p>
    <w:p w14:paraId="694B1563" w14:textId="6739B47E" w:rsidR="001B0630" w:rsidRDefault="00624976">
      <w:pPr>
        <w:numPr>
          <w:ilvl w:val="0"/>
          <w:numId w:val="1"/>
        </w:numPr>
        <w:pBdr>
          <w:top w:val="nil"/>
          <w:left w:val="nil"/>
          <w:bottom w:val="nil"/>
          <w:right w:val="nil"/>
          <w:between w:val="nil"/>
        </w:pBdr>
        <w:spacing w:after="0"/>
        <w:jc w:val="both"/>
        <w:rPr>
          <w:b/>
          <w:bCs/>
          <w:color w:val="000000"/>
        </w:rPr>
      </w:pPr>
      <w:r>
        <w:rPr>
          <w:color w:val="000000"/>
        </w:rPr>
        <w:t xml:space="preserve">Qualitas Energy VI tiene un tamaño objetivo de 3.250 millones de euros y busca una rentabilidad bruta objetivo </w:t>
      </w:r>
      <w:r w:rsidR="000D457D">
        <w:rPr>
          <w:color w:val="000000"/>
        </w:rPr>
        <w:t>superior al 15</w:t>
      </w:r>
      <w:r>
        <w:rPr>
          <w:color w:val="000000"/>
        </w:rPr>
        <w:t xml:space="preserve">% </w:t>
      </w:r>
    </w:p>
    <w:p w14:paraId="694B1564" w14:textId="651E3CA7" w:rsidR="001B0630" w:rsidRDefault="00624976">
      <w:pPr>
        <w:numPr>
          <w:ilvl w:val="0"/>
          <w:numId w:val="1"/>
        </w:numPr>
        <w:pBdr>
          <w:top w:val="nil"/>
          <w:left w:val="nil"/>
          <w:bottom w:val="nil"/>
          <w:right w:val="nil"/>
          <w:between w:val="nil"/>
        </w:pBdr>
        <w:spacing w:after="0"/>
        <w:jc w:val="both"/>
        <w:rPr>
          <w:color w:val="000000"/>
        </w:rPr>
      </w:pPr>
      <w:r>
        <w:t>El vehículo se integra como subyacente en Crescenta Private Equity Real Assets Top Performers I, FCR, lanzado por Crescenta para dar acceso al minorista a la inversión en infraestructuras, energía y real estate</w:t>
      </w:r>
    </w:p>
    <w:p w14:paraId="694B1565" w14:textId="77777777" w:rsidR="001B0630" w:rsidRDefault="001B0630">
      <w:pPr>
        <w:pBdr>
          <w:top w:val="nil"/>
          <w:left w:val="nil"/>
          <w:bottom w:val="nil"/>
          <w:right w:val="nil"/>
          <w:between w:val="nil"/>
        </w:pBdr>
        <w:spacing w:after="0"/>
        <w:ind w:left="720"/>
        <w:jc w:val="both"/>
      </w:pPr>
    </w:p>
    <w:p w14:paraId="694B1566" w14:textId="4433AFFE" w:rsidR="001B0630" w:rsidRDefault="00624976">
      <w:pPr>
        <w:jc w:val="both"/>
        <w:rPr>
          <w:b/>
          <w:bCs/>
        </w:rPr>
      </w:pPr>
      <w:bookmarkStart w:id="0" w:name="_heading=h.gjdgxs" w:colFirst="0" w:colLast="0"/>
      <w:bookmarkEnd w:id="0"/>
      <w:r>
        <w:rPr>
          <w:b/>
          <w:bCs/>
        </w:rPr>
        <w:t xml:space="preserve">Madrid, </w:t>
      </w:r>
      <w:r w:rsidR="00D020B7">
        <w:rPr>
          <w:b/>
          <w:bCs/>
        </w:rPr>
        <w:t>4</w:t>
      </w:r>
      <w:r>
        <w:rPr>
          <w:b/>
          <w:bCs/>
        </w:rPr>
        <w:t xml:space="preserve"> de diciembre de 2025</w:t>
      </w:r>
      <w:r>
        <w:t xml:space="preserve">. </w:t>
      </w:r>
      <w:hyperlink r:id="rId9">
        <w:r w:rsidR="001B0630">
          <w:rPr>
            <w:b/>
            <w:bCs/>
            <w:color w:val="0563C1"/>
            <w:u w:val="single"/>
          </w:rPr>
          <w:t>Crescenta</w:t>
        </w:r>
      </w:hyperlink>
      <w:r>
        <w:t xml:space="preserve">, la primera gestora digital de España para la inversión en fondos de capital privado, </w:t>
      </w:r>
      <w:r w:rsidR="002E0C33">
        <w:t xml:space="preserve">y Qualitas Energy, plataforma global líder de inversión y gestión con un enfoque dual en la financiación y el desarrollo de energías renovables, transición energética e infraestructuras sostenibles, han anunciado hoy un acuerdo por el que el fondo </w:t>
      </w:r>
      <w:r w:rsidR="0019763D">
        <w:t xml:space="preserve">Qualitas Energy VI, FCR, </w:t>
      </w:r>
      <w:r>
        <w:t xml:space="preserve">se incorpora como subyacente en </w:t>
      </w:r>
      <w:r w:rsidR="0021583D">
        <w:t>el</w:t>
      </w:r>
      <w:r>
        <w:t xml:space="preserve"> vehículo</w:t>
      </w:r>
      <w:r w:rsidR="0021583D">
        <w:t xml:space="preserve"> de Crescenta</w:t>
      </w:r>
      <w:r>
        <w:t xml:space="preserve"> centrado en infraestructuras, </w:t>
      </w:r>
      <w:r>
        <w:rPr>
          <w:i/>
          <w:iCs/>
        </w:rPr>
        <w:t xml:space="preserve">real estate </w:t>
      </w:r>
      <w:r>
        <w:t xml:space="preserve">y energía, </w:t>
      </w:r>
      <w:r>
        <w:rPr>
          <w:b/>
          <w:bCs/>
        </w:rPr>
        <w:t xml:space="preserve">Crescenta Private Equity Real Assets Top Performers I, FCR. </w:t>
      </w:r>
      <w:r w:rsidR="0019763D" w:rsidRPr="009B72B2">
        <w:t xml:space="preserve">Crescenta da entrada, así y por primera vez en sus estrategias, a un fondo </w:t>
      </w:r>
      <w:r w:rsidR="00BE3A0F" w:rsidRPr="009B72B2">
        <w:t xml:space="preserve">de una gestora </w:t>
      </w:r>
      <w:r w:rsidR="00D4686E" w:rsidRPr="009B72B2">
        <w:t>española</w:t>
      </w:r>
      <w:r w:rsidR="00BE3A0F" w:rsidRPr="009B72B2">
        <w:t>.</w:t>
      </w:r>
      <w:r w:rsidR="00BE3A0F">
        <w:rPr>
          <w:b/>
          <w:bCs/>
        </w:rPr>
        <w:t xml:space="preserve"> </w:t>
      </w:r>
    </w:p>
    <w:p w14:paraId="7B73C26B" w14:textId="1A49BADA" w:rsidR="008F7BB3" w:rsidRDefault="00DD4887">
      <w:pPr>
        <w:jc w:val="both"/>
      </w:pPr>
      <w:r>
        <w:t xml:space="preserve">Qualitas Energy </w:t>
      </w:r>
      <w:r w:rsidR="00652AA3">
        <w:t>VI</w:t>
      </w:r>
      <w:r w:rsidR="00624976">
        <w:t xml:space="preserve"> es el vehículo </w:t>
      </w:r>
      <w:r w:rsidR="00624976">
        <w:rPr>
          <w:i/>
          <w:iCs/>
        </w:rPr>
        <w:t>flagship</w:t>
      </w:r>
      <w:r w:rsidR="00624976">
        <w:t xml:space="preserve"> de </w:t>
      </w:r>
      <w:r w:rsidR="00624976">
        <w:rPr>
          <w:i/>
          <w:iCs/>
        </w:rPr>
        <w:t>equity</w:t>
      </w:r>
      <w:r w:rsidR="00624976">
        <w:t xml:space="preserve"> de Qualitas Energy</w:t>
      </w:r>
      <w:r w:rsidR="009D7CCD">
        <w:t xml:space="preserve"> y </w:t>
      </w:r>
      <w:r w:rsidR="0024298A">
        <w:t xml:space="preserve">actualmente </w:t>
      </w:r>
      <w:r w:rsidR="009D7CCD">
        <w:t xml:space="preserve">se encuentra </w:t>
      </w:r>
      <w:r w:rsidR="0024298A">
        <w:t xml:space="preserve">en proceso de fundraising. </w:t>
      </w:r>
      <w:r w:rsidR="00E61D9B">
        <w:t xml:space="preserve">Con </w:t>
      </w:r>
      <w:r w:rsidR="007A030D">
        <w:t>un tamaño objetivo de 3.250 millones</w:t>
      </w:r>
      <w:r w:rsidR="00E61D9B">
        <w:t xml:space="preserve"> </w:t>
      </w:r>
      <w:r w:rsidR="007A030D">
        <w:t>de euros</w:t>
      </w:r>
      <w:r w:rsidR="00E61D9B">
        <w:t xml:space="preserve"> y</w:t>
      </w:r>
      <w:r w:rsidR="007A030D">
        <w:t xml:space="preserve"> una rentabilidad bruta objetivo </w:t>
      </w:r>
      <w:r w:rsidR="009B72B2">
        <w:t>superior al</w:t>
      </w:r>
      <w:r w:rsidR="007A030D">
        <w:t xml:space="preserve"> 15%</w:t>
      </w:r>
      <w:r w:rsidR="00A7193B">
        <w:t xml:space="preserve">, el Fondo replica y amplía la estrategia de </w:t>
      </w:r>
      <w:r w:rsidR="001074E9">
        <w:t>su predecesor, Qualitas Energy V</w:t>
      </w:r>
      <w:r w:rsidR="00A7193B">
        <w:t xml:space="preserve">. </w:t>
      </w:r>
      <w:r w:rsidR="00C95DD5">
        <w:t xml:space="preserve">Su tesis de inversión abarca activos en todas las fases del ciclo de vida, desde el desarrollo y la operación hasta la repotenciación, y se complementa con una estrategia de private equity orientada a la consolidación </w:t>
      </w:r>
      <w:r w:rsidR="00BD5140">
        <w:t>de activos pequeños o medianos y plataformas.</w:t>
      </w:r>
      <w:r w:rsidR="00BD5140" w:rsidRPr="00BD5140">
        <w:t xml:space="preserve"> </w:t>
      </w:r>
      <w:r w:rsidR="00BD5140">
        <w:t xml:space="preserve">Desde un punto de vista geográfico, el </w:t>
      </w:r>
      <w:r w:rsidR="005745DE">
        <w:t>F</w:t>
      </w:r>
      <w:r w:rsidR="00BD5140">
        <w:t xml:space="preserve">ondo </w:t>
      </w:r>
      <w:r w:rsidR="00BD5140">
        <w:t>ofrece una exposición mayoritaria a</w:t>
      </w:r>
      <w:r w:rsidR="005745DE">
        <w:t xml:space="preserve"> </w:t>
      </w:r>
      <w:r w:rsidR="008B6E43">
        <w:t xml:space="preserve">los mercados europeos, </w:t>
      </w:r>
      <w:r w:rsidR="00BD5140">
        <w:t>y, en menor medida, a otros países de la OCDE, como Chile y Estados Unidos.</w:t>
      </w:r>
    </w:p>
    <w:p w14:paraId="694B1568" w14:textId="77777777" w:rsidR="001B0630" w:rsidRDefault="00624976">
      <w:pPr>
        <w:jc w:val="both"/>
      </w:pPr>
      <w:r>
        <w:t xml:space="preserve">“En nuestro compromiso con seleccionar a los mejores fondos, hemos decidido incorporar el fondo de Qualitas Energy, con un sólido </w:t>
      </w:r>
      <w:r>
        <w:rPr>
          <w:i/>
          <w:iCs/>
        </w:rPr>
        <w:t>track record</w:t>
      </w:r>
      <w:r>
        <w:t xml:space="preserve"> en la superación del tamaño y la rentabilidad objetivo de sus fondos. Los más de 14.000 millones de euros que ha destinado a la </w:t>
      </w:r>
      <w:r>
        <w:lastRenderedPageBreak/>
        <w:t xml:space="preserve">transición energética desde 2006 y las más de 300 transacciones que ha ejecutado demuestran la dilatada experiencia de la gestora en un sector clave en el contexto actual y que nos permite seguir ampliando la diversificación de nuestro fondo. Con este nuevo subyacente, los inversores de nuestro fondo de Real Assets podrán participar en el cambio energético, exponiéndose a una de las megatendencias más transformadoras de la próxima década”, explica Ramiro Iglesias, CEO y cofundador de Crescenta. </w:t>
      </w:r>
    </w:p>
    <w:p w14:paraId="28E825A9" w14:textId="5653A3BD" w:rsidR="00E66913" w:rsidRDefault="00624976">
      <w:pPr>
        <w:jc w:val="both"/>
      </w:pPr>
      <w:r>
        <w:t xml:space="preserve">Por su parte, </w:t>
      </w:r>
      <w:r w:rsidR="00AA7F42">
        <w:t>Oscar Pérez, Managing Partner y CEO de Qualitas Energy, afirma: “</w:t>
      </w:r>
      <w:r w:rsidR="00AA7F42" w:rsidRPr="00AA7F42">
        <w:t>La colaboración con Crescenta nos permite avanzar en la democratización de la inversión en private equity, ampliando nuestra base de inversores mediante una plataforma digital que facilita el acceso a productos de primer nivel. Crescenta se distingue por una selección extremadamente rigurosa de sus vehículos, y contar con su confianza supone un respaldo a la calidad y solidez de n</w:t>
      </w:r>
      <w:r w:rsidR="00E66913">
        <w:t>uestros fondos”.</w:t>
      </w:r>
    </w:p>
    <w:p w14:paraId="694B156A" w14:textId="75AA7F72" w:rsidR="001B0630" w:rsidRDefault="00624976">
      <w:pPr>
        <w:jc w:val="both"/>
      </w:pPr>
      <w:r>
        <w:t>Crescenta lanzó a principios de año el</w:t>
      </w:r>
      <w:r>
        <w:rPr>
          <w:b/>
          <w:bCs/>
        </w:rPr>
        <w:t xml:space="preserve"> Real Assets Top Performers I, FCR</w:t>
      </w:r>
      <w:r>
        <w:t xml:space="preserve">, para dar acceso al inversor minorista a un vehículo centrado en infraestructuras, energía y </w:t>
      </w:r>
      <w:r>
        <w:rPr>
          <w:i/>
          <w:iCs/>
        </w:rPr>
        <w:t>real estate</w:t>
      </w:r>
      <w:r>
        <w:t xml:space="preserve"> en el mercado global. Con un tamaño objetivo de 25 millones, busca una rentabilidad neta anual </w:t>
      </w:r>
      <w:r>
        <w:rPr>
          <w:b/>
          <w:bCs/>
        </w:rPr>
        <w:t xml:space="preserve">de entre el 12% y el 15% </w:t>
      </w:r>
      <w:r>
        <w:t>(basado en rentabilidades históricas simuladas*)</w:t>
      </w:r>
      <w:r>
        <w:rPr>
          <w:b/>
          <w:bCs/>
        </w:rPr>
        <w:t xml:space="preserve">. </w:t>
      </w:r>
      <w:r>
        <w:t>El vehículo invierte en fondos especializados en infraestructura, energía y real estate de gestoras internacionales de primer nivel como EQT o Carlyle.</w:t>
      </w:r>
    </w:p>
    <w:p w14:paraId="694B156B" w14:textId="77777777" w:rsidR="001B0630" w:rsidRDefault="00624976">
      <w:pPr>
        <w:jc w:val="center"/>
      </w:pPr>
      <w:r>
        <w:t>- FIN -</w:t>
      </w:r>
    </w:p>
    <w:p w14:paraId="694B156C" w14:textId="77777777" w:rsidR="001B0630" w:rsidRDefault="001B0630">
      <w:pPr>
        <w:jc w:val="center"/>
        <w:rPr>
          <w:i/>
          <w:iCs/>
          <w:sz w:val="18"/>
          <w:szCs w:val="18"/>
        </w:rPr>
      </w:pPr>
    </w:p>
    <w:p w14:paraId="694B156D" w14:textId="77777777" w:rsidR="001B0630" w:rsidRDefault="00624976" w:rsidP="009202D8">
      <w:pPr>
        <w:jc w:val="both"/>
        <w:rPr>
          <w:i/>
          <w:iCs/>
          <w:sz w:val="18"/>
          <w:szCs w:val="18"/>
        </w:rPr>
      </w:pPr>
      <w:r>
        <w:rPr>
          <w:i/>
          <w:iCs/>
          <w:sz w:val="18"/>
          <w:szCs w:val="18"/>
        </w:rPr>
        <w:t xml:space="preserve">*Objetivo basado en la rentabilidad neta histórica simulada obtenida por los fondos anteriores con misma estrategia a los subyacentes seleccionados y gestionados por la misma gestora que los subyacentes seleccionados, bajo un escenario conservador. Período de referencia para la simulación: toda la duración de los fondos anteriores (salvo los que se encuentran en periodo de inversión en el momento del análisis, que no se incluyen a estos efectos), en períodos completos de doce meses. Fuente de la información: elaboración interna a partir de la información facilitada por las gestoras de los fondos subyacentes. La rentabilidad pasada no constituye un indicador fiable de resultados futuros. </w:t>
      </w:r>
    </w:p>
    <w:p w14:paraId="694B156E" w14:textId="77777777" w:rsidR="001B0630" w:rsidRDefault="001B0630">
      <w:pPr>
        <w:jc w:val="center"/>
      </w:pPr>
    </w:p>
    <w:p w14:paraId="694B156F" w14:textId="77777777" w:rsidR="001B0630" w:rsidRDefault="00624976">
      <w:pPr>
        <w:pBdr>
          <w:bottom w:val="single" w:sz="4" w:space="1" w:color="000000"/>
        </w:pBdr>
        <w:jc w:val="both"/>
        <w:rPr>
          <w:b/>
          <w:bCs/>
        </w:rPr>
      </w:pPr>
      <w:r>
        <w:rPr>
          <w:b/>
          <w:bCs/>
        </w:rPr>
        <w:t>Sobre Crescenta</w:t>
      </w:r>
    </w:p>
    <w:p w14:paraId="694B1572" w14:textId="596F1329" w:rsidR="001B0630" w:rsidRDefault="001B0630">
      <w:pPr>
        <w:jc w:val="both"/>
      </w:pPr>
      <w:hyperlink r:id="rId10">
        <w:r>
          <w:rPr>
            <w:b/>
            <w:bCs/>
            <w:color w:val="0000FF"/>
            <w:u w:val="single"/>
          </w:rPr>
          <w:t>Crescenta</w:t>
        </w:r>
      </w:hyperlink>
      <w:r w:rsidR="00624976">
        <w:rPr>
          <w:b/>
          <w:bCs/>
        </w:rPr>
        <w:t xml:space="preserve"> </w:t>
      </w:r>
      <w:r w:rsidR="00624976">
        <w:t xml:space="preserve">es una Sociedad Gestora de Instituciones de Inversión Colectiva (SGIIC) supervisada por la CNMV e inscrita en el registro de CNMV de gestoras de IIC con número de registro oficial 289. La compañía, fundada por Eduardo Navarro y Ramiro Iglesias, ofrece a inversores profesionales y minoristas acceso de manera digital a los principales fondos nacionales e internacionales de </w:t>
      </w:r>
      <w:r w:rsidR="00624976">
        <w:rPr>
          <w:i/>
          <w:iCs/>
        </w:rPr>
        <w:t>private equity growth</w:t>
      </w:r>
      <w:r w:rsidR="00624976">
        <w:t xml:space="preserve">, </w:t>
      </w:r>
      <w:r w:rsidR="00624976">
        <w:rPr>
          <w:i/>
          <w:iCs/>
        </w:rPr>
        <w:t xml:space="preserve">private equity buyouts, real assets </w:t>
      </w:r>
      <w:r w:rsidR="00624976">
        <w:t xml:space="preserve">y </w:t>
      </w:r>
      <w:r w:rsidR="00624976">
        <w:rPr>
          <w:i/>
          <w:iCs/>
        </w:rPr>
        <w:t>secondaries</w:t>
      </w:r>
      <w:r w:rsidR="00624976">
        <w:t>, entre otras estrategias. Además, pone a disposición de sus clientes gran cantidad de información didáctica sobre la inversión en este segmento a través de su plataforma “Aprende y Crece”, una herramienta de asesoramiento y la posibilidad de integrar sus cuentas bancarias para un proceso de suscripción más ágil y seguro.</w:t>
      </w:r>
    </w:p>
    <w:p w14:paraId="2D0540AC" w14:textId="77777777" w:rsidR="00AA3A1B" w:rsidRDefault="00AA3A1B">
      <w:pPr>
        <w:jc w:val="both"/>
      </w:pPr>
    </w:p>
    <w:p w14:paraId="61A16C24" w14:textId="7BC30607" w:rsidR="00AA3A1B" w:rsidRPr="003A7770" w:rsidRDefault="00AA3A1B" w:rsidP="00AA3A1B">
      <w:pPr>
        <w:pBdr>
          <w:bottom w:val="single" w:sz="4" w:space="1" w:color="000000"/>
        </w:pBdr>
        <w:jc w:val="both"/>
        <w:rPr>
          <w:b/>
          <w:bCs/>
          <w:lang w:val="es-ES"/>
        </w:rPr>
      </w:pPr>
      <w:r w:rsidRPr="003A7770">
        <w:rPr>
          <w:b/>
          <w:bCs/>
          <w:lang w:val="es-ES"/>
        </w:rPr>
        <w:t>Sobre Qualitas Energy</w:t>
      </w:r>
    </w:p>
    <w:p w14:paraId="1460D393" w14:textId="16618407" w:rsidR="00AA3A1B" w:rsidRDefault="003A7770">
      <w:pPr>
        <w:jc w:val="both"/>
      </w:pPr>
      <w:r w:rsidRPr="003A7770">
        <w:t xml:space="preserve">Qualitas Energy es una plataforma global líder de inversión y gestión con un enfoque dual en la financiación y el desarrollo de energías renovables, transición energética e infraestructuras sostenibles. Desde 2006, el equipo de Qualitas Energy ha destinado más de 14.000 millones de euros a la transición energética a nivel mundial. Esta inversión se ha desplegado a través de seis vehículos: Fotowatio / FRV, Vela Energy, Qualitas Energy III, Qualitas Energy IV, Qualitas Energy V y Qualitas Energy Credit Fund. Qualitas Energy cuenta en la actualidad con una cartera de activos operativos y en desarrollo de 11 GW de energía – incluyendo solar, termosolar, eólica, almacenamiento y baterías, hidroeléctrica y gas natural renovable – en España, Alemania, Reino Unido, Italia, Polonia, Chile y </w:t>
      </w:r>
      <w:r w:rsidRPr="003A7770">
        <w:lastRenderedPageBreak/>
        <w:t xml:space="preserve">Estados Unidos. Qualitas Energy ha generado suficiente energía para abastecer a 1,2 millones de hogares y ha evitado con éxito la emisión de 1 millón de toneladas métricas de CO₂ equivalente en los últimos cinco años. El equipo de Qualitas Energy está compuesto por cerca de 560 profesionales repartidos en quince oficinas en Madrid, Berlín, Londres, Milán, Hamburgo, Wiesbaden, Tréveris (Trier), Colonia, Stuttgart, Varsovia, Wroclaw, Santiago, Durham, Bristol y Edimburgo. Para más información, visite </w:t>
      </w:r>
      <w:hyperlink r:id="rId11" w:history="1">
        <w:r w:rsidRPr="003A7770">
          <w:t>www.qualitasenergy.com</w:t>
        </w:r>
      </w:hyperlink>
      <w:r w:rsidRPr="003A7770">
        <w:t>.</w:t>
      </w:r>
    </w:p>
    <w:p w14:paraId="088DBE9A" w14:textId="77777777" w:rsidR="003A7770" w:rsidRPr="003A7770" w:rsidRDefault="003A7770">
      <w:pPr>
        <w:jc w:val="both"/>
      </w:pPr>
    </w:p>
    <w:p w14:paraId="694B1573" w14:textId="77777777" w:rsidR="001B0630" w:rsidRPr="0021383C" w:rsidRDefault="00624976">
      <w:pPr>
        <w:pBdr>
          <w:bottom w:val="single" w:sz="4" w:space="1" w:color="000000"/>
        </w:pBdr>
        <w:jc w:val="both"/>
        <w:rPr>
          <w:b/>
          <w:bCs/>
          <w:lang w:val="es-ES"/>
        </w:rPr>
      </w:pPr>
      <w:r w:rsidRPr="0021383C">
        <w:rPr>
          <w:b/>
          <w:bCs/>
          <w:lang w:val="es-ES"/>
        </w:rPr>
        <w:t>Contacto de prensa</w:t>
      </w:r>
    </w:p>
    <w:p w14:paraId="694B1574" w14:textId="77777777" w:rsidR="001B0630" w:rsidRDefault="00624976">
      <w:pPr>
        <w:spacing w:after="0"/>
        <w:jc w:val="both"/>
        <w:rPr>
          <w:sz w:val="18"/>
          <w:szCs w:val="18"/>
          <w:u w:val="single"/>
        </w:rPr>
      </w:pPr>
      <w:r>
        <w:rPr>
          <w:sz w:val="18"/>
          <w:szCs w:val="18"/>
          <w:u w:val="single"/>
        </w:rPr>
        <w:t>CRESCENTA</w:t>
      </w:r>
    </w:p>
    <w:p w14:paraId="694B1575" w14:textId="77777777" w:rsidR="001B0630" w:rsidRDefault="00624976">
      <w:pPr>
        <w:spacing w:after="0"/>
        <w:ind w:left="720"/>
        <w:jc w:val="both"/>
        <w:rPr>
          <w:sz w:val="18"/>
          <w:szCs w:val="18"/>
          <w:u w:val="single"/>
        </w:rPr>
      </w:pPr>
      <w:r>
        <w:rPr>
          <w:sz w:val="18"/>
          <w:szCs w:val="18"/>
        </w:rPr>
        <w:t xml:space="preserve">Sofía Cisneros: </w:t>
      </w:r>
      <w:hyperlink r:id="rId12">
        <w:r w:rsidR="001B0630">
          <w:rPr>
            <w:color w:val="0563C1"/>
            <w:sz w:val="18"/>
            <w:szCs w:val="18"/>
            <w:u w:val="single"/>
          </w:rPr>
          <w:t>scisneros@crescenta.com</w:t>
        </w:r>
      </w:hyperlink>
      <w:r>
        <w:rPr>
          <w:sz w:val="18"/>
          <w:szCs w:val="18"/>
          <w:u w:val="single"/>
        </w:rPr>
        <w:t xml:space="preserve"> </w:t>
      </w:r>
      <w:r>
        <w:rPr>
          <w:sz w:val="18"/>
          <w:szCs w:val="18"/>
        </w:rPr>
        <w:t>/ +34 681 018 669</w:t>
      </w:r>
    </w:p>
    <w:p w14:paraId="694B1576" w14:textId="77777777" w:rsidR="001B0630" w:rsidRPr="0021383C" w:rsidRDefault="00624976">
      <w:pPr>
        <w:spacing w:after="0" w:line="256" w:lineRule="auto"/>
        <w:ind w:left="720"/>
        <w:jc w:val="both"/>
        <w:rPr>
          <w:sz w:val="18"/>
          <w:szCs w:val="18"/>
          <w:lang w:val="pt-PT"/>
        </w:rPr>
      </w:pPr>
      <w:r w:rsidRPr="0021383C">
        <w:rPr>
          <w:sz w:val="18"/>
          <w:szCs w:val="18"/>
          <w:lang w:val="pt-PT"/>
        </w:rPr>
        <w:t xml:space="preserve">Diana Cortecero/Tamara Comesaña/María Matos: </w:t>
      </w:r>
      <w:hyperlink r:id="rId13">
        <w:r w:rsidR="001B0630" w:rsidRPr="0021383C">
          <w:rPr>
            <w:color w:val="0563C1"/>
            <w:sz w:val="18"/>
            <w:szCs w:val="18"/>
            <w:lang w:val="pt-PT"/>
          </w:rPr>
          <w:t>crescenta@harmon.es</w:t>
        </w:r>
      </w:hyperlink>
      <w:r w:rsidRPr="0021383C">
        <w:rPr>
          <w:sz w:val="18"/>
          <w:szCs w:val="18"/>
          <w:lang w:val="pt-PT"/>
        </w:rPr>
        <w:t xml:space="preserve"> / +34 610 422 590</w:t>
      </w:r>
    </w:p>
    <w:p w14:paraId="694B1579" w14:textId="77777777" w:rsidR="001B0630" w:rsidRPr="0021383C" w:rsidRDefault="001B0630">
      <w:pPr>
        <w:spacing w:after="0"/>
        <w:jc w:val="both"/>
        <w:rPr>
          <w:color w:val="0563C1"/>
          <w:sz w:val="18"/>
          <w:szCs w:val="18"/>
          <w:lang w:val="pt-PT"/>
        </w:rPr>
      </w:pPr>
    </w:p>
    <w:p w14:paraId="694B157A" w14:textId="77777777" w:rsidR="001B0630" w:rsidRPr="00AA3A1B" w:rsidRDefault="00624976">
      <w:pPr>
        <w:spacing w:after="0"/>
        <w:jc w:val="both"/>
        <w:rPr>
          <w:color w:val="0563C1"/>
          <w:sz w:val="18"/>
          <w:szCs w:val="18"/>
          <w:lang w:val="pt-PT"/>
        </w:rPr>
      </w:pPr>
      <w:r w:rsidRPr="00AA3A1B">
        <w:rPr>
          <w:sz w:val="18"/>
          <w:szCs w:val="18"/>
          <w:u w:val="single"/>
          <w:lang w:val="pt-PT"/>
        </w:rPr>
        <w:t>QUALITAS ENERGY</w:t>
      </w:r>
    </w:p>
    <w:p w14:paraId="496DCA3E" w14:textId="248BBBEC" w:rsidR="00900713" w:rsidRPr="009202D8" w:rsidRDefault="00624976">
      <w:pPr>
        <w:spacing w:after="0"/>
        <w:jc w:val="both"/>
        <w:rPr>
          <w:sz w:val="18"/>
          <w:szCs w:val="18"/>
          <w:lang w:val="pt-PT"/>
        </w:rPr>
      </w:pPr>
      <w:r w:rsidRPr="00AA3A1B">
        <w:rPr>
          <w:color w:val="0563C1"/>
          <w:sz w:val="18"/>
          <w:szCs w:val="18"/>
          <w:lang w:val="pt-PT"/>
        </w:rPr>
        <w:tab/>
      </w:r>
      <w:sdt>
        <w:sdtPr>
          <w:tag w:val="goog_rdk_1"/>
          <w:id w:val="1324482663"/>
        </w:sdtPr>
        <w:sdtContent/>
      </w:sdt>
      <w:r w:rsidR="00AA3A1B" w:rsidRPr="009202D8">
        <w:rPr>
          <w:sz w:val="18"/>
          <w:szCs w:val="18"/>
          <w:lang w:val="pt-PT"/>
        </w:rPr>
        <w:t xml:space="preserve">Henar Hernández: </w:t>
      </w:r>
      <w:hyperlink r:id="rId14" w:history="1">
        <w:r w:rsidR="00AA3A1B" w:rsidRPr="009202D8">
          <w:rPr>
            <w:color w:val="0563C1"/>
            <w:sz w:val="18"/>
            <w:szCs w:val="18"/>
            <w:u w:val="single"/>
            <w:lang w:val="pt-PT"/>
          </w:rPr>
          <w:t>henar.hernandez@qenergy.com</w:t>
        </w:r>
      </w:hyperlink>
      <w:r w:rsidR="00AA3A1B" w:rsidRPr="009202D8">
        <w:rPr>
          <w:sz w:val="18"/>
          <w:szCs w:val="18"/>
          <w:lang w:val="pt-PT"/>
        </w:rPr>
        <w:t xml:space="preserve"> / +34 </w:t>
      </w:r>
      <w:r w:rsidR="00900713" w:rsidRPr="009202D8">
        <w:rPr>
          <w:sz w:val="18"/>
          <w:szCs w:val="18"/>
          <w:lang w:val="pt-PT"/>
        </w:rPr>
        <w:t>697 11 68 72</w:t>
      </w:r>
    </w:p>
    <w:p w14:paraId="7DD3096A" w14:textId="53F45B6F" w:rsidR="00900713" w:rsidRPr="009202D8" w:rsidRDefault="00900713">
      <w:pPr>
        <w:spacing w:after="0"/>
        <w:jc w:val="both"/>
        <w:rPr>
          <w:sz w:val="18"/>
          <w:szCs w:val="18"/>
          <w:lang w:val="pt-PT"/>
        </w:rPr>
      </w:pPr>
      <w:r w:rsidRPr="009202D8">
        <w:rPr>
          <w:sz w:val="18"/>
          <w:szCs w:val="18"/>
          <w:lang w:val="pt-PT"/>
        </w:rPr>
        <w:tab/>
        <w:t xml:space="preserve">Paula Lacruz (Harmon): </w:t>
      </w:r>
      <w:hyperlink r:id="rId15" w:history="1">
        <w:r w:rsidR="00F26A19" w:rsidRPr="009202D8">
          <w:rPr>
            <w:color w:val="0563C1"/>
            <w:sz w:val="18"/>
            <w:szCs w:val="18"/>
            <w:u w:val="single"/>
            <w:lang w:val="pt-PT"/>
          </w:rPr>
          <w:t>placruz@harmon.es</w:t>
        </w:r>
      </w:hyperlink>
      <w:r w:rsidR="00F26A19" w:rsidRPr="009202D8">
        <w:rPr>
          <w:sz w:val="18"/>
          <w:szCs w:val="18"/>
          <w:lang w:val="pt-PT"/>
        </w:rPr>
        <w:t xml:space="preserve"> / +34 626 12 93 00</w:t>
      </w:r>
    </w:p>
    <w:sectPr w:rsidR="00900713" w:rsidRPr="009202D8">
      <w:headerReference w:type="default" r:id="rId16"/>
      <w:pgSz w:w="11906" w:h="16838"/>
      <w:pgMar w:top="2269"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DBF70C" w14:textId="77777777" w:rsidR="00B20677" w:rsidRDefault="00B20677">
      <w:pPr>
        <w:spacing w:after="0" w:line="240" w:lineRule="auto"/>
      </w:pPr>
      <w:r>
        <w:separator/>
      </w:r>
    </w:p>
  </w:endnote>
  <w:endnote w:type="continuationSeparator" w:id="0">
    <w:p w14:paraId="20EEE71A" w14:textId="77777777" w:rsidR="00B20677" w:rsidRDefault="00B206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4B4566CE-18A3-48D3-9BD8-429433A6064D}"/>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45ABD188-BEB2-4C81-BD47-1D0025DAF522}"/>
    <w:embedBold r:id="rId3" w:fontKey="{E7439AEB-8240-4BFF-93B4-3964253A5C5A}"/>
    <w:embedItalic r:id="rId4" w:fontKey="{43817FB9-5C73-4AA9-B19B-C5108DB5E8C2}"/>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5" w:fontKey="{9116D07E-992A-45D7-993E-E95C86A55F7A}"/>
  </w:font>
  <w:font w:name="Cambria">
    <w:panose1 w:val="02040503050406030204"/>
    <w:charset w:val="00"/>
    <w:family w:val="roman"/>
    <w:pitch w:val="variable"/>
    <w:sig w:usb0="E00006FF" w:usb1="420024FF" w:usb2="02000000" w:usb3="00000000" w:csb0="0000019F" w:csb1="00000000"/>
    <w:embedRegular r:id="rId6" w:fontKey="{24B3D05F-60F7-4D1F-B355-CE77AF42B64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50CA72" w14:textId="77777777" w:rsidR="00B20677" w:rsidRDefault="00B20677">
      <w:pPr>
        <w:spacing w:after="0" w:line="240" w:lineRule="auto"/>
      </w:pPr>
      <w:r>
        <w:separator/>
      </w:r>
    </w:p>
  </w:footnote>
  <w:footnote w:type="continuationSeparator" w:id="0">
    <w:p w14:paraId="2FBBD3E1" w14:textId="77777777" w:rsidR="00B20677" w:rsidRDefault="00B206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4B1580" w14:textId="44DA1F2B" w:rsidR="001B0630" w:rsidRPr="00B23DD0" w:rsidRDefault="00B23DD0" w:rsidP="00B23DD0">
    <w:pPr>
      <w:pBdr>
        <w:top w:val="nil"/>
        <w:left w:val="nil"/>
        <w:bottom w:val="nil"/>
        <w:right w:val="nil"/>
        <w:between w:val="nil"/>
      </w:pBdr>
      <w:tabs>
        <w:tab w:val="center" w:pos="4252"/>
        <w:tab w:val="right" w:pos="8504"/>
      </w:tabs>
      <w:spacing w:after="0" w:line="240" w:lineRule="auto"/>
      <w:rPr>
        <w:b/>
        <w:bCs/>
        <w:color w:val="323E4F"/>
        <w:sz w:val="48"/>
        <w:szCs w:val="48"/>
      </w:rPr>
    </w:pPr>
    <w:r>
      <w:rPr>
        <w:noProof/>
        <w:color w:val="000000"/>
      </w:rPr>
      <w:drawing>
        <wp:anchor distT="0" distB="0" distL="114300" distR="114300" simplePos="0" relativeHeight="251662336" behindDoc="0" locked="0" layoutInCell="1" allowOverlap="1" wp14:anchorId="719264FD" wp14:editId="2595F9A3">
          <wp:simplePos x="0" y="0"/>
          <wp:positionH relativeFrom="column">
            <wp:posOffset>683763</wp:posOffset>
          </wp:positionH>
          <wp:positionV relativeFrom="paragraph">
            <wp:posOffset>4332</wp:posOffset>
          </wp:positionV>
          <wp:extent cx="892175" cy="507365"/>
          <wp:effectExtent l="0" t="0" r="3175" b="0"/>
          <wp:wrapNone/>
          <wp:docPr id="854396472" name="Imagen 1" descr="Logoti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396472" name="Imagen 1" descr="Logotipo&#10;&#10;El contenido generado por IA puede ser incorrecto."/>
                  <pic:cNvPicPr/>
                </pic:nvPicPr>
                <pic:blipFill>
                  <a:blip r:embed="rId1">
                    <a:extLst>
                      <a:ext uri="{28A0092B-C50C-407E-A947-70E740481C1C}">
                        <a14:useLocalDpi xmlns:a14="http://schemas.microsoft.com/office/drawing/2010/main" val="0"/>
                      </a:ext>
                    </a:extLst>
                  </a:blip>
                  <a:stretch>
                    <a:fillRect/>
                  </a:stretch>
                </pic:blipFill>
                <pic:spPr>
                  <a:xfrm>
                    <a:off x="0" y="0"/>
                    <a:ext cx="892175" cy="507365"/>
                  </a:xfrm>
                  <a:prstGeom prst="rect">
                    <a:avLst/>
                  </a:prstGeom>
                </pic:spPr>
              </pic:pic>
            </a:graphicData>
          </a:graphic>
        </wp:anchor>
      </w:drawing>
    </w:r>
    <w:r>
      <w:rPr>
        <w:noProof/>
        <w:color w:val="000000"/>
      </w:rPr>
      <w:drawing>
        <wp:inline distT="0" distB="0" distL="0" distR="0" wp14:anchorId="694B1581" wp14:editId="694B1582">
          <wp:extent cx="523240" cy="523240"/>
          <wp:effectExtent l="0" t="0" r="0" b="0"/>
          <wp:docPr id="888336609" name="image1.jpg" descr="A picture containing circle, graphics, colorfulness, clip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jpg" descr="A picture containing circle, graphics, colorfulness, clipart&#10;&#10;Description automatically generated"/>
                  <pic:cNvPicPr preferRelativeResize="0"/>
                </pic:nvPicPr>
                <pic:blipFill>
                  <a:blip r:embed="rId2"/>
                  <a:srcRect/>
                  <a:stretch>
                    <a:fillRect/>
                  </a:stretch>
                </pic:blipFill>
                <pic:spPr>
                  <a:xfrm>
                    <a:off x="0" y="0"/>
                    <a:ext cx="523240" cy="523240"/>
                  </a:xfrm>
                  <a:prstGeom prst="rect">
                    <a:avLst/>
                  </a:prstGeom>
                  <a:ln/>
                </pic:spPr>
              </pic:pic>
            </a:graphicData>
          </a:graphic>
        </wp:inline>
      </w:drawing>
    </w:r>
    <w:r>
      <w:rPr>
        <w:color w:val="000000"/>
      </w:rPr>
      <w:t xml:space="preserve">  </w:t>
    </w:r>
    <w:r>
      <w:rPr>
        <w:color w:val="000000"/>
      </w:rPr>
      <w:tab/>
      <w:t xml:space="preserve">                                                                                          </w:t>
    </w:r>
    <w:r>
      <w:rPr>
        <w:b/>
        <w:bCs/>
        <w:color w:val="323E4F"/>
        <w:sz w:val="48"/>
        <w:szCs w:val="48"/>
      </w:rPr>
      <w:t>Nota de Prensa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F467F"/>
    <w:multiLevelType w:val="multilevel"/>
    <w:tmpl w:val="7D36EA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046201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TrueTypeFont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0630"/>
    <w:rsid w:val="000D457D"/>
    <w:rsid w:val="001074E9"/>
    <w:rsid w:val="0012403E"/>
    <w:rsid w:val="0019763D"/>
    <w:rsid w:val="001B0630"/>
    <w:rsid w:val="0021383C"/>
    <w:rsid w:val="0021583D"/>
    <w:rsid w:val="0024298A"/>
    <w:rsid w:val="002E0C33"/>
    <w:rsid w:val="00382D67"/>
    <w:rsid w:val="003842CD"/>
    <w:rsid w:val="003A7770"/>
    <w:rsid w:val="003B152B"/>
    <w:rsid w:val="003C7DEA"/>
    <w:rsid w:val="004026E4"/>
    <w:rsid w:val="00421A88"/>
    <w:rsid w:val="004419C5"/>
    <w:rsid w:val="00473A1A"/>
    <w:rsid w:val="00505427"/>
    <w:rsid w:val="005745DE"/>
    <w:rsid w:val="005A7E23"/>
    <w:rsid w:val="00605C1E"/>
    <w:rsid w:val="00624976"/>
    <w:rsid w:val="00652AA3"/>
    <w:rsid w:val="00675503"/>
    <w:rsid w:val="00741D26"/>
    <w:rsid w:val="007A030D"/>
    <w:rsid w:val="007C3083"/>
    <w:rsid w:val="007E12AA"/>
    <w:rsid w:val="008B6E43"/>
    <w:rsid w:val="008F7BB3"/>
    <w:rsid w:val="00900713"/>
    <w:rsid w:val="00904B96"/>
    <w:rsid w:val="009202D8"/>
    <w:rsid w:val="00947EF0"/>
    <w:rsid w:val="009B72B2"/>
    <w:rsid w:val="009D7CCD"/>
    <w:rsid w:val="00A7193B"/>
    <w:rsid w:val="00AA3A1B"/>
    <w:rsid w:val="00AA7F42"/>
    <w:rsid w:val="00B16C7F"/>
    <w:rsid w:val="00B20677"/>
    <w:rsid w:val="00B206ED"/>
    <w:rsid w:val="00B23DD0"/>
    <w:rsid w:val="00B72166"/>
    <w:rsid w:val="00BD5140"/>
    <w:rsid w:val="00BE3A0F"/>
    <w:rsid w:val="00C95DD5"/>
    <w:rsid w:val="00CC32DB"/>
    <w:rsid w:val="00CD6A06"/>
    <w:rsid w:val="00D020B7"/>
    <w:rsid w:val="00D4686E"/>
    <w:rsid w:val="00D94A4A"/>
    <w:rsid w:val="00DD4887"/>
    <w:rsid w:val="00E61D9B"/>
    <w:rsid w:val="00E66913"/>
    <w:rsid w:val="00EE4C26"/>
    <w:rsid w:val="00F26A19"/>
    <w:rsid w:val="00FD7F09"/>
    <w:rsid w:val="00FE3C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4B1560"/>
  <w15:docId w15:val="{82F87CA5-0C1A-426B-A749-DAF8ED2E8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3A1B"/>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sz w:val="24"/>
      <w:szCs w:val="24"/>
    </w:rPr>
  </w:style>
  <w:style w:type="paragraph" w:styleId="Ttulo5">
    <w:name w:val="heading 5"/>
    <w:basedOn w:val="Normal"/>
    <w:next w:val="Normal"/>
    <w:uiPriority w:val="9"/>
    <w:semiHidden/>
    <w:unhideWhenUsed/>
    <w:qFormat/>
    <w:pPr>
      <w:keepNext/>
      <w:keepLines/>
      <w:spacing w:before="220" w:after="40"/>
      <w:outlineLvl w:val="4"/>
    </w:pPr>
    <w:rPr>
      <w:b/>
      <w:bCs/>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table" w:customStyle="1" w:styleId="TableNormal2">
    <w:name w:val="Table Normal2"/>
    <w:tblPr>
      <w:tblCellMar>
        <w:top w:w="0" w:type="dxa"/>
        <w:left w:w="0" w:type="dxa"/>
        <w:bottom w:w="0" w:type="dxa"/>
        <w:right w:w="0" w:type="dxa"/>
      </w:tblCellMar>
    </w:tblPr>
  </w:style>
  <w:style w:type="paragraph" w:styleId="Encabezado">
    <w:name w:val="header"/>
    <w:basedOn w:val="Normal"/>
    <w:link w:val="EncabezadoCar"/>
    <w:uiPriority w:val="99"/>
    <w:unhideWhenUsed/>
    <w:rsid w:val="00B674D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674D0"/>
  </w:style>
  <w:style w:type="paragraph" w:styleId="Piedepgina">
    <w:name w:val="footer"/>
    <w:basedOn w:val="Normal"/>
    <w:link w:val="PiedepginaCar"/>
    <w:uiPriority w:val="99"/>
    <w:unhideWhenUsed/>
    <w:rsid w:val="00B674D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674D0"/>
  </w:style>
  <w:style w:type="character" w:styleId="Hipervnculo">
    <w:name w:val="Hyperlink"/>
    <w:basedOn w:val="Fuentedeprrafopredeter"/>
    <w:uiPriority w:val="99"/>
    <w:unhideWhenUsed/>
    <w:rsid w:val="00152FCC"/>
    <w:rPr>
      <w:color w:val="0000FF" w:themeColor="hyperlink"/>
      <w:u w:val="single"/>
    </w:rPr>
  </w:style>
  <w:style w:type="character" w:styleId="Mencinsinresolver">
    <w:name w:val="Unresolved Mention"/>
    <w:basedOn w:val="Fuentedeprrafopredeter"/>
    <w:uiPriority w:val="99"/>
    <w:semiHidden/>
    <w:unhideWhenUsed/>
    <w:rsid w:val="00152FCC"/>
    <w:rPr>
      <w:color w:val="605E5C"/>
      <w:shd w:val="clear" w:color="auto" w:fill="E1DFDD"/>
    </w:rPr>
  </w:style>
  <w:style w:type="character" w:styleId="Refdecomentario">
    <w:name w:val="annotation reference"/>
    <w:basedOn w:val="Fuentedeprrafopredeter"/>
    <w:uiPriority w:val="99"/>
    <w:semiHidden/>
    <w:unhideWhenUsed/>
    <w:rsid w:val="00D833C4"/>
    <w:rPr>
      <w:sz w:val="16"/>
      <w:szCs w:val="16"/>
    </w:rPr>
  </w:style>
  <w:style w:type="paragraph" w:styleId="Textocomentario">
    <w:name w:val="annotation text"/>
    <w:basedOn w:val="Normal"/>
    <w:link w:val="TextocomentarioCar"/>
    <w:uiPriority w:val="99"/>
    <w:unhideWhenUsed/>
    <w:rsid w:val="00D833C4"/>
    <w:pPr>
      <w:spacing w:line="240" w:lineRule="auto"/>
    </w:pPr>
    <w:rPr>
      <w:sz w:val="20"/>
      <w:szCs w:val="20"/>
    </w:rPr>
  </w:style>
  <w:style w:type="character" w:customStyle="1" w:styleId="TextocomentarioCar">
    <w:name w:val="Texto comentario Car"/>
    <w:basedOn w:val="Fuentedeprrafopredeter"/>
    <w:link w:val="Textocomentario"/>
    <w:uiPriority w:val="99"/>
    <w:rsid w:val="00D833C4"/>
    <w:rPr>
      <w:sz w:val="20"/>
      <w:szCs w:val="20"/>
    </w:rPr>
  </w:style>
  <w:style w:type="paragraph" w:styleId="Asuntodelcomentario">
    <w:name w:val="annotation subject"/>
    <w:basedOn w:val="Textocomentario"/>
    <w:next w:val="Textocomentario"/>
    <w:link w:val="AsuntodelcomentarioCar"/>
    <w:uiPriority w:val="99"/>
    <w:semiHidden/>
    <w:unhideWhenUsed/>
    <w:rsid w:val="00D833C4"/>
    <w:rPr>
      <w:b/>
      <w:bCs/>
    </w:rPr>
  </w:style>
  <w:style w:type="character" w:customStyle="1" w:styleId="AsuntodelcomentarioCar">
    <w:name w:val="Asunto del comentario Car"/>
    <w:basedOn w:val="TextocomentarioCar"/>
    <w:link w:val="Asuntodelcomentario"/>
    <w:uiPriority w:val="99"/>
    <w:semiHidden/>
    <w:rsid w:val="00D833C4"/>
    <w:rPr>
      <w:b/>
      <w:bCs/>
      <w:sz w:val="20"/>
      <w:szCs w:val="20"/>
    </w:rPr>
  </w:style>
  <w:style w:type="paragraph" w:styleId="Revisin">
    <w:name w:val="Revision"/>
    <w:hidden/>
    <w:uiPriority w:val="99"/>
    <w:semiHidden/>
    <w:rsid w:val="00EF3815"/>
    <w:pPr>
      <w:spacing w:after="0" w:line="240" w:lineRule="auto"/>
    </w:pPr>
  </w:style>
  <w:style w:type="table" w:customStyle="1" w:styleId="TableNormal1">
    <w:name w:val="Table Normal1"/>
    <w:rsid w:val="00D66930"/>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rescenta@harmon.es"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scisneros@crescenta.co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qualitasenergy.com" TargetMode="External"/><Relationship Id="rId5" Type="http://schemas.openxmlformats.org/officeDocument/2006/relationships/settings" Target="settings.xml"/><Relationship Id="rId15" Type="http://schemas.openxmlformats.org/officeDocument/2006/relationships/hyperlink" Target="mailto:placruz@harmon.es" TargetMode="External"/><Relationship Id="rId10" Type="http://schemas.openxmlformats.org/officeDocument/2006/relationships/hyperlink" Target="https://www.crescenta.com/" TargetMode="External"/><Relationship Id="rId4" Type="http://schemas.openxmlformats.org/officeDocument/2006/relationships/styles" Target="styles.xml"/><Relationship Id="rId9" Type="http://schemas.openxmlformats.org/officeDocument/2006/relationships/hyperlink" Target="https://www.crescenta.com/" TargetMode="External"/><Relationship Id="rId14" Type="http://schemas.openxmlformats.org/officeDocument/2006/relationships/hyperlink" Target="mailto:henar.hernandez@qenergy.com"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2C0GAkQv65EHK0OozYsdWIx2EQ==">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</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A7494B5-FBCF-448E-A103-35E72DB49C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3</Pages>
  <Words>1107</Words>
  <Characters>6090</Characters>
  <Application>Microsoft Office Word</Application>
  <DocSecurity>0</DocSecurity>
  <Lines>50</Lines>
  <Paragraphs>14</Paragraphs>
  <ScaleCrop>false</ScaleCrop>
  <Company/>
  <LinksUpToDate>false</LinksUpToDate>
  <CharactersWithSpaces>7183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Cortecero</dc:creator>
  <cp:lastModifiedBy>Henar Hernández</cp:lastModifiedBy>
  <cp:revision>54</cp:revision>
  <dcterms:created xsi:type="dcterms:W3CDTF">2025-11-28T14:13:00Z</dcterms:created>
  <dcterms:modified xsi:type="dcterms:W3CDTF">2025-12-02T09:52:00Z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4eb7fc91-f434-4137-8245-c8c7ddc3a977</vt:lpwstr>
  </property>
  <property fmtid="{D5CDD505-2E9C-101B-9397-08002B2CF9AE}" pid="3" name="ContentTypeId">
    <vt:lpwstr>0x010100D1CBBDA69BAF2D46876F2175C6EE3444</vt:lpwstr>
  </property>
  <property fmtid="{D5CDD505-2E9C-101B-9397-08002B2CF9AE}" pid="4" name="MediaServiceImageTags">
    <vt:lpwstr/>
  </property>
</Properties>
</file>